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distribute"/>
        <w:rPr>
          <w:rFonts w:ascii="华文中宋" w:hAnsi="华文中宋" w:eastAsia="华文中宋" w:cs="宋体"/>
          <w:b/>
          <w:bCs/>
          <w:w w:val="60"/>
          <w:kern w:val="0"/>
          <w:sz w:val="84"/>
          <w:szCs w:val="84"/>
        </w:rPr>
      </w:pPr>
      <w:r>
        <w:rPr>
          <w:rFonts w:hint="eastAsia" w:ascii="华文中宋" w:hAnsi="华文中宋" w:eastAsia="华文中宋" w:cs="宋体"/>
          <w:b/>
          <w:bCs/>
          <w:color w:val="FF0000"/>
          <w:w w:val="60"/>
          <w:kern w:val="0"/>
          <w:sz w:val="84"/>
          <w:szCs w:val="84"/>
        </w:rPr>
        <w:t>吉林省教育科学研究领导小组办公</w:t>
      </w:r>
      <w:r>
        <w:rPr>
          <w:rFonts w:hint="eastAsia" w:ascii="华文中宋" w:hAnsi="华文中宋" w:eastAsia="华文中宋" w:cs="宋体"/>
          <w:b/>
          <w:bCs/>
          <w:color w:val="FF0000"/>
          <w:spacing w:val="40"/>
          <w:w w:val="60"/>
          <w:kern w:val="0"/>
          <w:sz w:val="84"/>
          <w:szCs w:val="84"/>
        </w:rPr>
        <w:t>室</w:t>
      </w:r>
    </w:p>
    <w:p>
      <w:pPr>
        <w:widowControl/>
        <w:jc w:val="center"/>
        <w:rPr>
          <w:rFonts w:ascii="楷体_GB2312" w:hAnsi="宋体" w:eastAsia="楷体_GB2312" w:cs="宋体"/>
          <w:bCs/>
          <w:kern w:val="0"/>
          <w:sz w:val="28"/>
          <w:szCs w:val="28"/>
        </w:rPr>
      </w:pPr>
      <w:r>
        <w:rPr>
          <w:rFonts w:hint="eastAsia" w:ascii="楷体_GB2312" w:hAnsi="宋体" w:eastAsia="楷体_GB2312" w:cs="宋体"/>
          <w:bCs/>
          <w:kern w:val="0"/>
          <w:sz w:val="28"/>
          <w:szCs w:val="28"/>
        </w:rPr>
        <w:t>吉教科研办字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〔</w:t>
      </w:r>
      <w:r>
        <w:rPr>
          <w:rFonts w:hint="eastAsia" w:ascii="楷体_GB2312" w:hAnsi="宋体" w:eastAsia="楷体_GB2312" w:cs="宋体"/>
          <w:bCs/>
          <w:kern w:val="0"/>
          <w:sz w:val="28"/>
          <w:szCs w:val="28"/>
        </w:rPr>
        <w:t>2020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〕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val="en-US" w:eastAsia="zh-CN"/>
        </w:rPr>
        <w:t>1</w:t>
      </w:r>
      <w:r>
        <w:rPr>
          <w:rFonts w:hint="eastAsia" w:ascii="楷体_GB2312" w:hAnsi="宋体" w:eastAsia="楷体_GB2312" w:cs="宋体"/>
          <w:bCs/>
          <w:kern w:val="0"/>
          <w:sz w:val="28"/>
          <w:szCs w:val="28"/>
        </w:rPr>
        <w:t>号</w:t>
      </w:r>
    </w:p>
    <w:p>
      <w:pPr>
        <w:widowControl/>
        <w:jc w:val="left"/>
        <w:rPr>
          <w:rFonts w:ascii="宋体" w:hAnsi="宋体" w:cs="宋体"/>
          <w:color w:val="FF0000"/>
          <w:kern w:val="0"/>
          <w:sz w:val="18"/>
          <w:szCs w:val="18"/>
          <w:u w:val="single"/>
        </w:rPr>
      </w:pPr>
      <w:r>
        <w:rPr>
          <w:lang w:val="en-US" w:eastAsia="zh-CN"/>
        </w:rPr>
        <w:pict>
          <v:line id="直接连接符 2" o:spid="_x0000_s1027" o:spt="20" style="position:absolute;left:0pt;margin-left:-0.95pt;margin-top:7pt;height:0pt;width:418.5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">
            <v:path arrowok="t"/>
            <v:fill focussize="0,0"/>
            <v:stroke weight="4.5pt" color="#FF0000" linestyle="thickThin"/>
            <v:imagedata o:title=""/>
            <o:lock v:ext="edit"/>
          </v:line>
        </w:pict>
      </w:r>
    </w:p>
    <w:p>
      <w:pPr>
        <w:widowControl/>
        <w:jc w:val="left"/>
        <w:rPr>
          <w:rFonts w:ascii="宋体" w:hAnsi="宋体" w:cs="宋体"/>
          <w:b/>
          <w:color w:val="FF0000"/>
          <w:kern w:val="0"/>
          <w:sz w:val="44"/>
          <w:szCs w:val="44"/>
        </w:rPr>
      </w:pPr>
    </w:p>
    <w:p>
      <w:pPr>
        <w:widowControl/>
        <w:jc w:val="center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关于开展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吉林省教育科学规划专项课题暨“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教育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事业发展‘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十四五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’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规划专项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研究</w:t>
      </w:r>
      <w:r>
        <w:rPr>
          <w:rFonts w:ascii="宋体" w:hAnsi="宋体" w:cs="宋体"/>
          <w:b/>
          <w:color w:val="000000"/>
          <w:kern w:val="0"/>
          <w:sz w:val="44"/>
          <w:szCs w:val="44"/>
          <w:shd w:val="clear"/>
        </w:rPr>
        <w:t>”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立项</w:t>
      </w:r>
      <w:r>
        <w:rPr>
          <w:rFonts w:ascii="宋体" w:hAnsi="宋体" w:cs="宋体"/>
          <w:b/>
          <w:color w:val="000000"/>
          <w:kern w:val="0"/>
          <w:sz w:val="44"/>
          <w:szCs w:val="44"/>
        </w:rPr>
        <w:t>申报工作的通知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</w:t>
      </w:r>
    </w:p>
    <w:p>
      <w:pPr>
        <w:widowControl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各市（州）、长白山开发区教育局，梅河口市、公主岭市、长春新区教育局，各（县、市）区教育局，各高等学校：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2021-2025年是我国国民经济和社会发展第十四个五年计划时期，是全面开启社会主义现代化强国建设新征程的重要机遇期，也是教育领域加快推进教育现代化，建设教育强国的关键期。编制好“十四五”教育事业发展规划，是教育事业发展的必然要求，对于未来五年我省教育事业发展尤为重要。为了从顶层设计视角，突出规划编制的前瞻性、战略性、科学性、指导性，经研究决定，</w:t>
      </w:r>
      <w:r>
        <w:rPr>
          <w:rFonts w:hint="eastAsia" w:ascii="仿宋_GB2312" w:hAnsi="宋体" w:eastAsia="仿宋_GB2312" w:cs="宋体"/>
          <w:kern w:val="0"/>
          <w:sz w:val="32"/>
          <w:szCs w:val="32"/>
          <w:shd w:val="clear"/>
        </w:rPr>
        <w:t>开展教育事业发展“十四五”规划专项研究课题立项工作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，现将有关事项通知如下。</w:t>
      </w:r>
    </w:p>
    <w:p>
      <w:pPr>
        <w:widowControl/>
        <w:numPr>
          <w:ilvl w:val="0"/>
          <w:numId w:val="1"/>
        </w:numPr>
        <w:ind w:firstLine="640" w:firstLineChars="200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指导思想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以习近平新时代中国特色社会主义思想为指导，深入贯彻党的十九大精神，全面落实全国教育大会精神，树牢“四个意识”，坚定“四个自信”，做到“两个维护”，围绕中心，服务大局，聚焦未来五年教育发展的战略性问题，确保“十四五”时期教育事业开好局、起好步。</w:t>
      </w:r>
    </w:p>
    <w:p>
      <w:pPr>
        <w:widowControl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二、有关要求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1.本专项隶属吉林省教育科学规划课题，立项课题研究过程中的相关工作，严格按照《吉林省教育科学规划课题管理办法》进行管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理。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课题成果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可作为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教育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科学规划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课题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评奖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的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重要参考。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2.申报立项课题的最终成果形式为研究报告。研究报告要求3万字以上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。课题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研究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期限严格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限定为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获批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之日起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两个月内</w:t>
      </w:r>
      <w:r>
        <w:rPr>
          <w:rFonts w:ascii="仿宋_GB2312" w:hAnsi="宋体" w:eastAsia="仿宋_GB2312" w:cs="宋体"/>
          <w:color w:val="auto"/>
          <w:kern w:val="0"/>
          <w:sz w:val="32"/>
          <w:szCs w:val="32"/>
        </w:rPr>
        <w:t>。</w:t>
      </w:r>
    </w:p>
    <w:p>
      <w:pPr>
        <w:widowControl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三、申报程序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1.申报程序。立项工作由各高等院校教育科研管理部门、各市（州）教育科学研究领导小组办公室负责组织申报；直属单位经本单位科研管理部门审核后直接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报。省教科办不受理个人申报。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由于受到疫情影响，本次申报工作采取网上上报、评审，只报电子版材料，纸质材料暂时不收，待疫情过后再做处理。</w:t>
      </w:r>
    </w:p>
    <w:p>
      <w:pPr>
        <w:widowControl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2.课题负责人只能申报一项专项课题；作为主要参研人员，最多只能同时参与两项专项课题研究。</w:t>
      </w:r>
    </w:p>
    <w:p>
      <w:pPr>
        <w:widowControl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四、申报材料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由于受到疫情影响，此次申报材料仅需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提供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《申请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▪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评审书》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“汇总登记表”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电子版即可。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电子版材料以“申报单位+（“十四五”发展规划专项研究）”为文件名打包由组织申报单位统一汇总发送至省教科办电子信箱jlsjkb@126.com。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相关文件、材料下载地址：吉林省教育科学规划网（http://jkghw.jlipedu.cn/）。</w:t>
      </w:r>
    </w:p>
    <w:p>
      <w:pPr>
        <w:widowControl/>
        <w:ind w:firstLine="640" w:firstLineChars="200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五、申报时间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课题申报时间为2020年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13日。各单位将材料统一报送至省教科办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电子邮箱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，逾期不予受理。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各级科研管理单位要加强对课题申报工作的组织和指导，适当控制申报数量，严格审核申报资格、前期研究成果的真实性、课题组的研究实力以及必备条件等。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附件1：课题申报指南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附件2：《申请</w:t>
      </w:r>
      <w:r>
        <w:rPr>
          <w:rFonts w:hint="eastAsia" w:ascii="微软雅黑" w:hAnsi="微软雅黑" w:eastAsia="微软雅黑" w:cs="微软雅黑"/>
          <w:kern w:val="0"/>
          <w:sz w:val="32"/>
          <w:szCs w:val="32"/>
        </w:rPr>
        <w:t>▪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评审书》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附件3：高校及市（州）申报序号代码</w:t>
      </w:r>
    </w:p>
    <w:p>
      <w:pPr>
        <w:widowControl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附件4：汇总登记表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11430</wp:posOffset>
            </wp:positionV>
            <wp:extent cx="1457960" cy="1450340"/>
            <wp:effectExtent l="19050" t="0" r="8890" b="0"/>
            <wp:wrapNone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145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吉林省教育科学研究领导小组办公室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2020年2月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/>
    <w:sectPr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C8FA0"/>
    <w:multiLevelType w:val="singleLevel"/>
    <w:tmpl w:val="2E9C8F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D80"/>
    <w:rsid w:val="0016435E"/>
    <w:rsid w:val="00576D80"/>
    <w:rsid w:val="27F27496"/>
    <w:rsid w:val="42930867"/>
    <w:rsid w:val="58466E17"/>
    <w:rsid w:val="589A0896"/>
    <w:rsid w:val="590E483A"/>
    <w:rsid w:val="6867661D"/>
    <w:rsid w:val="77D9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4</Pages>
  <Words>220</Words>
  <Characters>1254</Characters>
  <Lines>10</Lines>
  <Paragraphs>2</Paragraphs>
  <TotalTime>14</TotalTime>
  <ScaleCrop>false</ScaleCrop>
  <LinksUpToDate>false</LinksUpToDate>
  <CharactersWithSpaces>1472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2020-02-06T12:53:00Z</dcterms:created>
  <dc:creator>HP</dc:creator>
  <cp:lastModifiedBy>ds</cp:lastModifiedBy>
  <dcterms:modified xsi:type="dcterms:W3CDTF">2020-02-11T03:54:03Z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